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08" w:rsidRPr="007F0AC2" w:rsidRDefault="00FC4D68" w:rsidP="00611778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eastAsia="+mj-ea" w:hAnsiTheme="majorBidi" w:cstheme="majorBidi"/>
          <w:b/>
          <w:bCs/>
          <w:sz w:val="24"/>
          <w:szCs w:val="24"/>
          <w:lang w:bidi="ar-IQ"/>
        </w:rPr>
        <w:t>Clinical Chemistry</w:t>
      </w:r>
    </w:p>
    <w:p w:rsidR="00FC4D68" w:rsidRPr="007F0AC2" w:rsidRDefault="00FC4D68" w:rsidP="00611778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eastAsia="+mn-ea" w:hAnsiTheme="majorBidi" w:cstheme="majorBidi"/>
          <w:b/>
          <w:bCs/>
          <w:sz w:val="24"/>
          <w:szCs w:val="24"/>
          <w:lang w:bidi="ar-IQ"/>
        </w:rPr>
        <w:t>Purpose of Clinical Chemistry Tests</w:t>
      </w:r>
    </w:p>
    <w:p w:rsidR="00645908" w:rsidRPr="007F0AC2" w:rsidRDefault="00591807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1-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Measure levels of substances found in blood that have biological functions.  Examples:  Glucose, Calcium</w:t>
      </w:r>
    </w:p>
    <w:p w:rsidR="00645908" w:rsidRPr="007F0AC2" w:rsidRDefault="00511598" w:rsidP="0051159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2-M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easure non-functional metabolites or waste products.  Examples:  Creatinine, Blood Urea Nitrogen (BUN)</w:t>
      </w:r>
    </w:p>
    <w:p w:rsidR="00645908" w:rsidRPr="007F0AC2" w:rsidRDefault="00511598" w:rsidP="00511598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3-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Detect or measure substances that indicate cell damage or disease.  Examples:  Liver enzymes, such as ALT, Cardiac enzymes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45908" w:rsidRPr="007F0AC2" w:rsidRDefault="00511598" w:rsidP="0051159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3-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Detect drugs or toxic substances.  </w:t>
      </w:r>
    </w:p>
    <w:p w:rsidR="00645908" w:rsidRPr="007F0AC2" w:rsidRDefault="00515D3E" w:rsidP="00611778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Types of Specimens for Chemical Analysis</w:t>
      </w:r>
    </w:p>
    <w:p w:rsidR="00645908" w:rsidRPr="007F0AC2" w:rsidRDefault="00CA5E67" w:rsidP="00CA5E67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1-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Whole blood, serum or plasma.  </w:t>
      </w:r>
    </w:p>
    <w:p w:rsidR="00645908" w:rsidRPr="007F0AC2" w:rsidRDefault="00CA5E67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2-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Urine – often 24 hour collections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45908" w:rsidRPr="007F0AC2" w:rsidRDefault="00CA5E67" w:rsidP="00CA5E67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3-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Others – Cerebrospinal Spinal Fluid (CSF)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645908" w:rsidRPr="007F0AC2" w:rsidRDefault="00515D3E" w:rsidP="00611778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Collection and Handling of Blood Specimens for Chemical Analysis</w:t>
      </w:r>
    </w:p>
    <w:p w:rsidR="00645908" w:rsidRPr="007F0AC2" w:rsidRDefault="00515D3E" w:rsidP="00CA5E67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Blood collect</w:t>
      </w:r>
      <w:r w:rsidR="00CA5E67" w:rsidRPr="007F0AC2">
        <w:rPr>
          <w:rFonts w:asciiTheme="majorBidi" w:hAnsiTheme="majorBidi" w:cstheme="majorBidi"/>
          <w:sz w:val="24"/>
          <w:szCs w:val="24"/>
          <w:lang w:bidi="ar-IQ"/>
        </w:rPr>
        <w:t>ion tubes for obtaining serum -t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ubes do not have an anticoagulant but do contain a gel substance which will form an interface between the clot and the serum when the blood specimen is centrifuged.  </w:t>
      </w:r>
    </w:p>
    <w:p w:rsidR="00FC4D68" w:rsidRPr="007F0AC2" w:rsidRDefault="00FC4D68" w:rsidP="00611778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noProof/>
          <w:sz w:val="24"/>
          <w:szCs w:val="24"/>
          <w:rtl/>
        </w:rPr>
        <w:drawing>
          <wp:inline distT="0" distB="0" distL="0" distR="0">
            <wp:extent cx="1851025" cy="1973263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97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5908" w:rsidRPr="007F0AC2" w:rsidRDefault="00CA5E67" w:rsidP="00611778">
      <w:pPr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Preparation</w:t>
      </w:r>
      <w:r w:rsidR="00515D3E"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; time of collection; &amp; effects of eating on chemistry analysis</w:t>
      </w:r>
    </w:p>
    <w:p w:rsidR="00645908" w:rsidRPr="007F0AC2" w:rsidRDefault="000631F2" w:rsidP="00452D7E">
      <w:pPr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1-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Some specimens are increased or decreased after eating (ex. Glucose,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triglycerides), .  Specimens for these tests are usually collected in a fasting state.</w:t>
      </w:r>
    </w:p>
    <w:p w:rsidR="00645908" w:rsidRPr="007F0AC2" w:rsidRDefault="000631F2" w:rsidP="000631F2">
      <w:pPr>
        <w:ind w:left="180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lastRenderedPageBreak/>
        <w:t>2-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Sometimes serum or plasma appears lipemia (milky) after a patient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has eaten a fatty meal. 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The blood must be recollected when the patient is fasting.</w:t>
      </w:r>
    </w:p>
    <w:p w:rsidR="00FC4D68" w:rsidRPr="007F0AC2" w:rsidRDefault="00FC4D68" w:rsidP="00611778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noProof/>
          <w:sz w:val="24"/>
          <w:szCs w:val="24"/>
          <w:rtl/>
        </w:rPr>
        <w:drawing>
          <wp:inline distT="0" distB="0" distL="0" distR="0">
            <wp:extent cx="1662113" cy="3678238"/>
            <wp:effectExtent l="19050" t="0" r="0" b="0"/>
            <wp:docPr id="3" name="Picture 3" descr="Lipem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Lipem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13" cy="367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5908" w:rsidRPr="007F0AC2" w:rsidRDefault="00515D3E" w:rsidP="00611778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Clinical Chemistry Tests</w:t>
      </w:r>
    </w:p>
    <w:p w:rsidR="00645908" w:rsidRPr="007F0AC2" w:rsidRDefault="00515D3E" w:rsidP="009E4863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Chemistry Panel grouping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– some tests are according to the system or organ targeted.  Examples: thyroid panel, liver panel, cardiac panel, kidney panel, basic metabolic panel, etc.</w:t>
      </w:r>
    </w:p>
    <w:p w:rsidR="00577B25" w:rsidRPr="007F0AC2" w:rsidRDefault="009E4863" w:rsidP="004040EC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1-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Proteins –  Provides information about state of hydration, nutrition and liver function</w:t>
      </w:r>
      <w:r w:rsidR="00577B25" w:rsidRPr="007F0AC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45908" w:rsidRPr="007F0AC2" w:rsidRDefault="00577B25" w:rsidP="00577B25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2-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>Electrolytes</w:t>
      </w:r>
    </w:p>
    <w:p w:rsidR="00645908" w:rsidRPr="007F0AC2" w:rsidRDefault="00515D3E" w:rsidP="00EB3DFB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Includes sodium (Na), potassium (K), chloride (Cl) and bicarbonate (HCO</w:t>
      </w:r>
      <w:r w:rsidRPr="007F0AC2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3-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577B25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these have a great effect on hydration, acid-base balance and osmotic pressure as well as pH and heart and muscle contraction</w:t>
      </w:r>
      <w:r w:rsidR="00577B25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8B483A" w:rsidRPr="007F0AC2" w:rsidRDefault="00A902CB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3-</w:t>
      </w:r>
      <w:r w:rsidR="008B483A" w:rsidRPr="007F0AC2">
        <w:rPr>
          <w:rFonts w:asciiTheme="majorBidi" w:hAnsiTheme="majorBidi" w:cstheme="majorBidi"/>
          <w:sz w:val="24"/>
          <w:szCs w:val="24"/>
          <w:lang w:bidi="ar-IQ"/>
        </w:rPr>
        <w:t>Minerals</w:t>
      </w:r>
      <w:r w:rsidR="00912DAD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and salts</w:t>
      </w:r>
    </w:p>
    <w:p w:rsidR="008B483A" w:rsidRPr="007F0AC2" w:rsidRDefault="008B483A" w:rsidP="00515D3E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Calcium</w:t>
      </w:r>
      <w:r w:rsidR="00BE717F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u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sed in coagulation and muscle contraction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99% is in skeleton and is not metabolically active</w:t>
      </w:r>
      <w:r w:rsidR="00515D3E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i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nfluenced by vitamin D, parathyroid hormone, estrogen and calcitonin </w:t>
      </w:r>
    </w:p>
    <w:p w:rsidR="008B483A" w:rsidRPr="007F0AC2" w:rsidRDefault="008B483A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Hypercalcemia – occurs in parathyroidism, bone malignancies, hormone disorders, excessive vitamin D, and acidosis; may cause kidney stones</w:t>
      </w:r>
    </w:p>
    <w:p w:rsidR="008B483A" w:rsidRPr="007F0AC2" w:rsidRDefault="008B483A" w:rsidP="0041680E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lastRenderedPageBreak/>
        <w:t>Hypocalcemia – can cause tetany; occurs in hypoparathyroidism, vitamin D deficiency</w:t>
      </w:r>
      <w:r w:rsidR="0041680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32E29" w:rsidRPr="007F0AC2" w:rsidRDefault="00232E29" w:rsidP="00912DAD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Phosphorus</w:t>
      </w:r>
      <w:r w:rsidR="00912DAD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80% in bone and rest in energy compounds such as ATP</w:t>
      </w:r>
      <w:r w:rsidR="00912DAD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Influenced by calcium and certain hormones</w:t>
      </w:r>
      <w:r w:rsidR="00912DAD" w:rsidRPr="007F0AC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32E29" w:rsidRPr="007F0AC2" w:rsidRDefault="00232E29" w:rsidP="00912DAD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Iron</w:t>
      </w:r>
      <w:r w:rsidR="00912DAD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Essential for hemoglobin</w:t>
      </w:r>
      <w:r w:rsidR="00912DAD" w:rsidRPr="007F0AC2">
        <w:rPr>
          <w:rFonts w:asciiTheme="majorBidi" w:hAnsiTheme="majorBidi" w:cstheme="majorBidi"/>
          <w:sz w:val="24"/>
          <w:szCs w:val="24"/>
          <w:lang w:bidi="ar-IQ"/>
        </w:rPr>
        <w:t>, d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eficiency results in anemia; may be caused by lack of iron in diet, poor absorption, poor release of stored iron or loss due to bleeding</w:t>
      </w:r>
      <w:r w:rsidR="00912DAD" w:rsidRPr="007F0AC2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Increased in hemolytic anemia, increased iron intake or blocked synthesis of iron-contai</w:t>
      </w:r>
      <w:r w:rsidR="0041680E">
        <w:rPr>
          <w:rFonts w:asciiTheme="majorBidi" w:hAnsiTheme="majorBidi" w:cstheme="majorBidi"/>
          <w:sz w:val="24"/>
          <w:szCs w:val="24"/>
          <w:lang w:bidi="ar-IQ"/>
        </w:rPr>
        <w:t>ning compounds, such as in</w:t>
      </w:r>
      <w:r w:rsidR="009D286D">
        <w:rPr>
          <w:rFonts w:asciiTheme="majorBidi" w:hAnsiTheme="majorBidi" w:cstheme="majorBidi"/>
          <w:sz w:val="24"/>
          <w:szCs w:val="24"/>
          <w:lang w:bidi="ar-IQ"/>
        </w:rPr>
        <w:t xml:space="preserve"> leading to</w:t>
      </w:r>
      <w:r w:rsidR="0041680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poisoning</w:t>
      </w:r>
      <w:r w:rsidR="009D286D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32E29" w:rsidRPr="007F0AC2" w:rsidRDefault="00912DAD" w:rsidP="00611778">
      <w:pPr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4-</w:t>
      </w:r>
      <w:r w:rsidR="00232E29"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Kidney Function Tests</w:t>
      </w:r>
    </w:p>
    <w:p w:rsidR="00232E29" w:rsidRPr="007F0AC2" w:rsidRDefault="00232E29" w:rsidP="00EC4493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Serum Creatinine</w:t>
      </w:r>
    </w:p>
    <w:p w:rsidR="00232E29" w:rsidRPr="007F0AC2" w:rsidRDefault="00232E29" w:rsidP="00EC4493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BUN (Blood Urea Nitrogen)</w:t>
      </w:r>
    </w:p>
    <w:p w:rsidR="00232E29" w:rsidRPr="007F0AC2" w:rsidRDefault="00232E29" w:rsidP="00EC4493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Uric Acid</w:t>
      </w:r>
    </w:p>
    <w:p w:rsidR="00232E29" w:rsidRPr="007F0AC2" w:rsidRDefault="00DC308A" w:rsidP="00611778">
      <w:pPr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5-</w:t>
      </w:r>
      <w:r w:rsidR="00232E29"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Liver Function Tests</w:t>
      </w:r>
    </w:p>
    <w:p w:rsidR="00232E29" w:rsidRPr="007F0AC2" w:rsidRDefault="00232E29" w:rsidP="00E60A2E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Total Bilirubin</w:t>
      </w:r>
      <w:r w:rsidR="00E60A2E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Waste production of hemoglobin breakdown</w:t>
      </w:r>
      <w:r w:rsidR="00E60A2E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Increased in excessive RBC breakdown, such as hemolytic anemia, or impaired liver function or some sort of obstruction, such as a tumor or gall stone</w:t>
      </w:r>
      <w:r w:rsidR="00E60A2E" w:rsidRPr="007F0AC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32E29" w:rsidRPr="007F0AC2" w:rsidRDefault="00232E29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Liver Enzymes – levels increase following damage to liver tissues</w:t>
      </w:r>
      <w:r w:rsidR="00E60A2E" w:rsidRPr="007F0AC2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232E29" w:rsidRPr="007F0AC2" w:rsidRDefault="00E60A2E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232E29" w:rsidRPr="007F0AC2">
        <w:rPr>
          <w:rFonts w:asciiTheme="majorBidi" w:hAnsiTheme="majorBidi" w:cstheme="majorBidi"/>
          <w:sz w:val="24"/>
          <w:szCs w:val="24"/>
          <w:lang w:bidi="ar-IQ"/>
        </w:rPr>
        <w:t>Alkaline Phosphatase (ALP or AP) - Greatly increased in liver tumors and lesions; moderately increased in diseases such as hepatitis</w:t>
      </w:r>
    </w:p>
    <w:p w:rsidR="00E60A2E" w:rsidRPr="007F0AC2" w:rsidRDefault="00E60A2E" w:rsidP="002A4C14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232E29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Alanine Aminotransferase (ALT; formerly called SGPT) - </w:t>
      </w:r>
    </w:p>
    <w:p w:rsidR="00232E29" w:rsidRPr="007F0AC2" w:rsidRDefault="00E60A2E" w:rsidP="002A4C14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232E29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Asparate Aminotransferase (AST; formerly called SGOT) - </w:t>
      </w:r>
    </w:p>
    <w:p w:rsidR="00232E29" w:rsidRPr="007F0AC2" w:rsidRDefault="00E60A2E" w:rsidP="002A4C14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232E29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Gamma Glutamyl Transferase (GGT) - </w:t>
      </w:r>
    </w:p>
    <w:p w:rsidR="00232E29" w:rsidRPr="007F0AC2" w:rsidRDefault="00E60A2E" w:rsidP="002A4C14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232E29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Lactate Dehydrogenase (LD) - </w:t>
      </w:r>
    </w:p>
    <w:p w:rsidR="00232E29" w:rsidRPr="007F0AC2" w:rsidRDefault="00232E29" w:rsidP="00611778">
      <w:pPr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Cardiac Function Tests</w:t>
      </w:r>
      <w:r w:rsidR="002A4C14"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232E29" w:rsidRPr="007F0AC2" w:rsidRDefault="002A4C14" w:rsidP="002A4C14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232E29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Creatine Kinase (CK) </w:t>
      </w:r>
    </w:p>
    <w:p w:rsidR="00232E29" w:rsidRPr="007F0AC2" w:rsidRDefault="002A4C14" w:rsidP="002A4C14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232E29" w:rsidRPr="007F0AC2">
        <w:rPr>
          <w:rFonts w:asciiTheme="majorBidi" w:hAnsiTheme="majorBidi" w:cstheme="majorBidi"/>
          <w:sz w:val="24"/>
          <w:szCs w:val="24"/>
          <w:lang w:bidi="ar-IQ"/>
        </w:rPr>
        <w:t>Troponins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; </w:t>
      </w:r>
      <w:r w:rsidR="00232E29" w:rsidRPr="007F0AC2">
        <w:rPr>
          <w:rFonts w:asciiTheme="majorBidi" w:hAnsiTheme="majorBidi" w:cstheme="majorBidi"/>
          <w:sz w:val="24"/>
          <w:szCs w:val="24"/>
          <w:lang w:bidi="ar-IQ"/>
        </w:rPr>
        <w:t>Cardiac Troponin T (cTnT)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232E29" w:rsidRPr="007F0AC2">
        <w:rPr>
          <w:rFonts w:asciiTheme="majorBidi" w:hAnsiTheme="majorBidi" w:cstheme="majorBidi"/>
          <w:sz w:val="24"/>
          <w:szCs w:val="24"/>
          <w:lang w:bidi="ar-IQ"/>
        </w:rPr>
        <w:t>Cardiac Troponin I (cTnI)</w:t>
      </w:r>
    </w:p>
    <w:p w:rsidR="00232E29" w:rsidRPr="007F0AC2" w:rsidRDefault="00232E29" w:rsidP="00611778">
      <w:pPr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Lipid Metabolism Tests</w:t>
      </w:r>
      <w:r w:rsidR="002A4C14"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232E29" w:rsidRPr="007F0AC2" w:rsidRDefault="00232E29" w:rsidP="007A6068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Cholesterol</w:t>
      </w:r>
      <w:r w:rsidR="002A4C14" w:rsidRPr="007F0AC2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7A6068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LDL = </w:t>
      </w:r>
      <w:r w:rsidR="002A4C14" w:rsidRPr="007F0AC2">
        <w:rPr>
          <w:rFonts w:asciiTheme="majorBidi" w:hAnsiTheme="majorBidi" w:cstheme="majorBidi"/>
          <w:sz w:val="24"/>
          <w:szCs w:val="24"/>
          <w:lang w:bidi="ar-IQ"/>
        </w:rPr>
        <w:t>low density lipid</w:t>
      </w:r>
      <w:r w:rsidR="00347F35" w:rsidRPr="007F0AC2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HDL = </w:t>
      </w:r>
      <w:r w:rsidR="00347F35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high density lipid,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Triglycerides</w:t>
      </w:r>
      <w:r w:rsidR="00347F35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 w:rsidR="000A3934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 VLDL= very low density lipid</w:t>
      </w:r>
      <w:r w:rsidR="00801333" w:rsidRPr="007F0AC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E65F7A" w:rsidRDefault="00E65F7A" w:rsidP="007A6068">
      <w:pPr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01333" w:rsidRDefault="00801333" w:rsidP="007A6068">
      <w:pPr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Pancreas function tests</w:t>
      </w:r>
    </w:p>
    <w:p w:rsidR="00801333" w:rsidRPr="007F0AC2" w:rsidRDefault="00801333" w:rsidP="007A6068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-amylase</w:t>
      </w:r>
    </w:p>
    <w:p w:rsidR="00801333" w:rsidRPr="007F0AC2" w:rsidRDefault="00801333" w:rsidP="007A6068">
      <w:pPr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-lipase  </w:t>
      </w:r>
    </w:p>
    <w:p w:rsidR="00232E29" w:rsidRPr="007F0AC2" w:rsidRDefault="00232E29" w:rsidP="002966EA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 xml:space="preserve">Glucose </w:t>
      </w:r>
      <w:r w:rsidR="00645078" w:rsidRPr="007F0AC2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</w:p>
    <w:p w:rsidR="00232E29" w:rsidRPr="007F0AC2" w:rsidRDefault="00232E29" w:rsidP="00611778">
      <w:pPr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F0AC2">
        <w:rPr>
          <w:rFonts w:asciiTheme="majorBidi" w:hAnsiTheme="majorBidi" w:cstheme="majorBidi"/>
          <w:b/>
          <w:bCs/>
          <w:sz w:val="24"/>
          <w:szCs w:val="24"/>
          <w:lang w:bidi="ar-IQ"/>
        </w:rPr>
        <w:t>Thyroid Function Tests</w:t>
      </w:r>
    </w:p>
    <w:p w:rsidR="00232E29" w:rsidRPr="007F0AC2" w:rsidRDefault="00232E29" w:rsidP="007A606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Thyroid Stimulating Hormone (TSH) (the higher the TSH, the lower the thyroid function)</w:t>
      </w:r>
      <w:r w:rsidR="007A6068" w:rsidRPr="007F0AC2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7F0AC2">
        <w:rPr>
          <w:rFonts w:asciiTheme="majorBidi" w:hAnsiTheme="majorBidi" w:cstheme="majorBidi"/>
          <w:sz w:val="24"/>
          <w:szCs w:val="24"/>
          <w:lang w:bidi="ar-IQ"/>
        </w:rPr>
        <w:t>Other less common thyroid tests include T3 and T4</w:t>
      </w:r>
    </w:p>
    <w:p w:rsidR="00232E29" w:rsidRPr="007F0AC2" w:rsidRDefault="00232E29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Hypothyroidism – underactive thyroid gland</w:t>
      </w:r>
    </w:p>
    <w:p w:rsidR="00232E29" w:rsidRPr="007F0AC2" w:rsidRDefault="00232E29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sz w:val="24"/>
          <w:szCs w:val="24"/>
          <w:lang w:bidi="ar-IQ"/>
        </w:rPr>
        <w:t>Hyperthyroidism – overactive thyroid gland</w:t>
      </w:r>
    </w:p>
    <w:p w:rsidR="00232E29" w:rsidRPr="007F0AC2" w:rsidRDefault="00232E29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B483A" w:rsidRPr="007F0AC2" w:rsidRDefault="009F00DC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7601126"/>
            <wp:effectExtent l="1905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07" w:rsidRPr="007F0AC2" w:rsidRDefault="00591807" w:rsidP="00611778">
      <w:pPr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F0AC2">
        <w:rPr>
          <w:rFonts w:asciiTheme="majorBidi" w:hAnsiTheme="majorBidi" w:cstheme="majorBidi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5645118"/>
            <wp:effectExtent l="1905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4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807" w:rsidRPr="007F0AC2" w:rsidSect="0064590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B4" w:rsidRDefault="00443EB4" w:rsidP="007F0AC2">
      <w:pPr>
        <w:spacing w:after="0" w:line="240" w:lineRule="auto"/>
      </w:pPr>
      <w:r>
        <w:separator/>
      </w:r>
    </w:p>
  </w:endnote>
  <w:endnote w:type="continuationSeparator" w:id="1">
    <w:p w:rsidR="00443EB4" w:rsidRDefault="00443EB4" w:rsidP="007F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C2" w:rsidRPr="007F0AC2" w:rsidRDefault="007F0AC2">
    <w:pPr>
      <w:pStyle w:val="Footer"/>
      <w:rPr>
        <w:b/>
        <w:bCs/>
        <w:sz w:val="32"/>
        <w:szCs w:val="32"/>
      </w:rPr>
    </w:pPr>
    <w:r w:rsidRPr="007F0AC2">
      <w:rPr>
        <w:rFonts w:hint="cs"/>
        <w:b/>
        <w:bCs/>
        <w:sz w:val="32"/>
        <w:szCs w:val="32"/>
        <w:rtl/>
      </w:rPr>
      <w:t>د.نصير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B4" w:rsidRDefault="00443EB4" w:rsidP="007F0AC2">
      <w:pPr>
        <w:spacing w:after="0" w:line="240" w:lineRule="auto"/>
      </w:pPr>
      <w:r>
        <w:separator/>
      </w:r>
    </w:p>
  </w:footnote>
  <w:footnote w:type="continuationSeparator" w:id="1">
    <w:p w:rsidR="00443EB4" w:rsidRDefault="00443EB4" w:rsidP="007F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54721"/>
      <w:docPartObj>
        <w:docPartGallery w:val="Page Numbers (Top of Page)"/>
        <w:docPartUnique/>
      </w:docPartObj>
    </w:sdtPr>
    <w:sdtContent>
      <w:p w:rsidR="007F0AC2" w:rsidRDefault="00186026">
        <w:pPr>
          <w:pStyle w:val="Header"/>
        </w:pPr>
        <w:fldSimple w:instr=" PAGE   \* MERGEFORMAT ">
          <w:r w:rsidR="00E65F7A">
            <w:rPr>
              <w:noProof/>
              <w:rtl/>
            </w:rPr>
            <w:t>4</w:t>
          </w:r>
        </w:fldSimple>
      </w:p>
    </w:sdtContent>
  </w:sdt>
  <w:p w:rsidR="007F0AC2" w:rsidRDefault="007F0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6E"/>
    <w:multiLevelType w:val="hybridMultilevel"/>
    <w:tmpl w:val="3630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F97"/>
    <w:multiLevelType w:val="hybridMultilevel"/>
    <w:tmpl w:val="7090E7AC"/>
    <w:lvl w:ilvl="0" w:tplc="6F14E0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6DB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631E2">
      <w:start w:val="74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87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4D1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837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A6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208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9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C23144"/>
    <w:multiLevelType w:val="hybridMultilevel"/>
    <w:tmpl w:val="8D00CAF6"/>
    <w:lvl w:ilvl="0" w:tplc="EBA0D8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602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0D126">
      <w:start w:val="477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EBD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64B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044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C25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EEA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271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5179A1"/>
    <w:multiLevelType w:val="hybridMultilevel"/>
    <w:tmpl w:val="B5843B2C"/>
    <w:lvl w:ilvl="0" w:tplc="6E0E9B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0F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693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6C9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6CE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0B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01D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2C2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495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2F3BAD"/>
    <w:multiLevelType w:val="hybridMultilevel"/>
    <w:tmpl w:val="56A46A92"/>
    <w:lvl w:ilvl="0" w:tplc="FB6A9E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C68B6">
      <w:start w:val="4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87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05D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A28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AFC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225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0F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239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C766C"/>
    <w:multiLevelType w:val="hybridMultilevel"/>
    <w:tmpl w:val="B2C25D8C"/>
    <w:lvl w:ilvl="0" w:tplc="2BA6D5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CB4">
      <w:start w:val="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F8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201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ED7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47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E44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6DA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A3F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95DF9"/>
    <w:multiLevelType w:val="hybridMultilevel"/>
    <w:tmpl w:val="DAFCB7B8"/>
    <w:lvl w:ilvl="0" w:tplc="B85421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E0000">
      <w:start w:val="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EAB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07D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819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EA2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C2A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847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659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B1869"/>
    <w:multiLevelType w:val="hybridMultilevel"/>
    <w:tmpl w:val="4CCC8FAC"/>
    <w:lvl w:ilvl="0" w:tplc="30A248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6FAB8">
      <w:start w:val="4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A5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06C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C92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C22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5E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6F1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E5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C6010"/>
    <w:multiLevelType w:val="hybridMultilevel"/>
    <w:tmpl w:val="2BACBAE4"/>
    <w:lvl w:ilvl="0" w:tplc="4454DE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496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C44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A3B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05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C92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28F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8E0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CB4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47780"/>
    <w:multiLevelType w:val="hybridMultilevel"/>
    <w:tmpl w:val="D4D22FC4"/>
    <w:lvl w:ilvl="0" w:tplc="D4DC72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CB8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4E6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C58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C8B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E98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4C3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428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05D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D68"/>
    <w:rsid w:val="000631F2"/>
    <w:rsid w:val="000A3934"/>
    <w:rsid w:val="00186026"/>
    <w:rsid w:val="00232E29"/>
    <w:rsid w:val="002966EA"/>
    <w:rsid w:val="002A4C14"/>
    <w:rsid w:val="00347F35"/>
    <w:rsid w:val="004040EC"/>
    <w:rsid w:val="0041680E"/>
    <w:rsid w:val="00443EB4"/>
    <w:rsid w:val="00452D7E"/>
    <w:rsid w:val="00511598"/>
    <w:rsid w:val="00515D3E"/>
    <w:rsid w:val="00577B25"/>
    <w:rsid w:val="00591807"/>
    <w:rsid w:val="00611778"/>
    <w:rsid w:val="00645078"/>
    <w:rsid w:val="00645908"/>
    <w:rsid w:val="00661970"/>
    <w:rsid w:val="007A6068"/>
    <w:rsid w:val="007F0AC2"/>
    <w:rsid w:val="00801333"/>
    <w:rsid w:val="008B483A"/>
    <w:rsid w:val="008C6004"/>
    <w:rsid w:val="00912DAD"/>
    <w:rsid w:val="009D286D"/>
    <w:rsid w:val="009E43E7"/>
    <w:rsid w:val="009E4863"/>
    <w:rsid w:val="009F00DC"/>
    <w:rsid w:val="009F0636"/>
    <w:rsid w:val="00A8528B"/>
    <w:rsid w:val="00A902CB"/>
    <w:rsid w:val="00B17C95"/>
    <w:rsid w:val="00B754D6"/>
    <w:rsid w:val="00BE717F"/>
    <w:rsid w:val="00CA5E67"/>
    <w:rsid w:val="00DC308A"/>
    <w:rsid w:val="00E60A2E"/>
    <w:rsid w:val="00E65F7A"/>
    <w:rsid w:val="00EB3DFB"/>
    <w:rsid w:val="00EC4493"/>
    <w:rsid w:val="00FC4D68"/>
    <w:rsid w:val="00F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00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E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C2"/>
  </w:style>
  <w:style w:type="paragraph" w:styleId="Footer">
    <w:name w:val="footer"/>
    <w:basedOn w:val="Normal"/>
    <w:link w:val="FooterChar"/>
    <w:uiPriority w:val="99"/>
    <w:semiHidden/>
    <w:unhideWhenUsed/>
    <w:rsid w:val="007F0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1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2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8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0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4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8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IK</cp:lastModifiedBy>
  <cp:revision>36</cp:revision>
  <dcterms:created xsi:type="dcterms:W3CDTF">2016-12-24T17:44:00Z</dcterms:created>
  <dcterms:modified xsi:type="dcterms:W3CDTF">2016-12-27T06:23:00Z</dcterms:modified>
</cp:coreProperties>
</file>